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94" w:rsidRDefault="00830894" w:rsidP="00830894">
      <w:pPr>
        <w:tabs>
          <w:tab w:val="left" w:pos="540"/>
        </w:tabs>
        <w:jc w:val="distribute"/>
        <w:rPr>
          <w:rFonts w:ascii="新宋体" w:eastAsia="新宋体" w:hAnsi="新宋体" w:hint="eastAsia"/>
          <w:b/>
          <w:color w:val="FF0000"/>
          <w:spacing w:val="-20"/>
          <w:w w:val="80"/>
          <w:sz w:val="72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72"/>
          <w:szCs w:val="72"/>
        </w:rPr>
        <w:t>全国机械职业教育教学指导委员</w:t>
      </w:r>
      <w:r>
        <w:rPr>
          <w:rFonts w:ascii="新宋体" w:eastAsia="新宋体" w:hAnsi="新宋体" w:hint="eastAsia"/>
          <w:b/>
          <w:color w:val="FF0000"/>
          <w:spacing w:val="-20"/>
          <w:w w:val="80"/>
          <w:sz w:val="72"/>
        </w:rPr>
        <w:t>会新能源装备技术类专业指导委员会</w:t>
      </w:r>
    </w:p>
    <w:p w:rsidR="00830894" w:rsidRDefault="00830894" w:rsidP="00830894">
      <w:pPr>
        <w:spacing w:line="400" w:lineRule="exact"/>
        <w:rPr>
          <w:rFonts w:ascii="新宋体" w:eastAsia="新宋体" w:hAnsi="新宋体" w:hint="eastAsia"/>
          <w:b/>
          <w:color w:val="FF0000"/>
          <w:spacing w:val="-20"/>
          <w:w w:val="80"/>
          <w:sz w:val="72"/>
        </w:rPr>
      </w:pPr>
      <w:r>
        <w:rPr>
          <w:rFonts w:hint="eastAsia"/>
          <w:b/>
          <w:sz w:val="24"/>
        </w:rPr>
        <w:t xml:space="preserve">                     </w:t>
      </w:r>
      <w:r>
        <w:rPr>
          <w:rFonts w:hint="eastAsia"/>
          <w:b/>
          <w:color w:val="FF0000"/>
          <w:sz w:val="24"/>
        </w:rPr>
        <w:t xml:space="preserve">  </w:t>
      </w:r>
      <w:r>
        <w:rPr>
          <w:rFonts w:hint="eastAsia"/>
          <w:b/>
          <w:color w:val="FF0000"/>
          <w:sz w:val="24"/>
        </w:rPr>
        <w:t>新能源专委〔</w:t>
      </w:r>
      <w:r>
        <w:rPr>
          <w:rFonts w:hint="eastAsia"/>
          <w:b/>
          <w:color w:val="FF0000"/>
          <w:sz w:val="24"/>
        </w:rPr>
        <w:t>2016</w:t>
      </w:r>
      <w:r>
        <w:rPr>
          <w:rFonts w:hint="eastAsia"/>
          <w:b/>
          <w:color w:val="FF0000"/>
          <w:sz w:val="24"/>
        </w:rPr>
        <w:t>〕</w:t>
      </w:r>
      <w:r>
        <w:rPr>
          <w:rFonts w:hint="eastAsia"/>
          <w:b/>
          <w:color w:val="FF0000"/>
          <w:sz w:val="24"/>
        </w:rPr>
        <w:t>6</w:t>
      </w:r>
      <w:r>
        <w:rPr>
          <w:rFonts w:hint="eastAsia"/>
          <w:b/>
          <w:color w:val="FF0000"/>
          <w:sz w:val="24"/>
        </w:rPr>
        <w:t>号</w:t>
      </w:r>
      <w:r>
        <w:rPr>
          <w:rFonts w:hint="eastAsia"/>
          <w:b/>
          <w:color w:val="FF0000"/>
          <w:sz w:val="24"/>
        </w:rPr>
        <w:t xml:space="preserve"> </w:t>
      </w:r>
    </w:p>
    <w:p w:rsidR="00830894" w:rsidRDefault="00830894" w:rsidP="00830894">
      <w:pPr>
        <w:rPr>
          <w:rFonts w:hint="eastAsia"/>
        </w:rPr>
      </w:pPr>
      <w:r>
        <w:rPr>
          <w:lang w:val="en-US" w:eastAsia="zh-CN"/>
        </w:rPr>
        <w:pict>
          <v:line id="直线 2" o:spid="_x0000_s1026" style="position:absolute;left:0;text-align:left;z-index:251660288" from="5.25pt,7.8pt" to="420pt,7.8pt" strokecolor="red" strokeweight="2.25pt"/>
        </w:pict>
      </w:r>
      <w:r>
        <w:rPr>
          <w:rFonts w:hint="eastAsia"/>
        </w:rPr>
        <w:t xml:space="preserve">                          </w:t>
      </w:r>
    </w:p>
    <w:p w:rsidR="004A1924" w:rsidRDefault="009046BB" w:rsidP="00481DC8">
      <w:pPr>
        <w:widowControl/>
        <w:spacing w:line="360" w:lineRule="auto"/>
        <w:jc w:val="center"/>
        <w:rPr>
          <w:rFonts w:ascii="黑体" w:eastAsia="黑体" w:hAnsi="黑体" w:cs="仿宋_GB2312"/>
          <w:b/>
          <w:sz w:val="36"/>
          <w:szCs w:val="36"/>
        </w:rPr>
      </w:pPr>
      <w:r>
        <w:rPr>
          <w:rFonts w:ascii="黑体" w:eastAsia="黑体" w:hAnsi="黑体" w:cs="仿宋_GB2312" w:hint="eastAsia"/>
          <w:b/>
          <w:sz w:val="36"/>
          <w:szCs w:val="36"/>
        </w:rPr>
        <w:t>关于举办</w:t>
      </w:r>
      <w:r w:rsidR="004A1924">
        <w:rPr>
          <w:rFonts w:ascii="黑体" w:eastAsia="黑体" w:hAnsi="黑体" w:cs="仿宋_GB2312" w:hint="eastAsia"/>
          <w:b/>
          <w:sz w:val="36"/>
          <w:szCs w:val="36"/>
        </w:rPr>
        <w:t>第一届“华纳杯”</w:t>
      </w:r>
      <w:r w:rsidR="00481DC8">
        <w:rPr>
          <w:rFonts w:ascii="黑体" w:eastAsia="黑体" w:hAnsi="黑体" w:cs="仿宋_GB2312" w:hint="eastAsia"/>
          <w:b/>
          <w:sz w:val="36"/>
          <w:szCs w:val="36"/>
        </w:rPr>
        <w:t>全国</w:t>
      </w:r>
      <w:r w:rsidR="004216EA">
        <w:rPr>
          <w:rFonts w:ascii="黑体" w:eastAsia="黑体" w:hAnsi="黑体" w:cs="仿宋_GB2312" w:hint="eastAsia"/>
          <w:b/>
          <w:sz w:val="36"/>
          <w:szCs w:val="36"/>
        </w:rPr>
        <w:t>风力发电系统</w:t>
      </w:r>
    </w:p>
    <w:p w:rsidR="00481DC8" w:rsidRDefault="009046BB" w:rsidP="00481DC8">
      <w:pPr>
        <w:widowControl/>
        <w:spacing w:line="360" w:lineRule="auto"/>
        <w:jc w:val="center"/>
        <w:rPr>
          <w:rFonts w:ascii="黑体" w:eastAsia="黑体" w:hAnsi="黑体" w:cs="仿宋_GB2312"/>
          <w:b/>
          <w:sz w:val="36"/>
          <w:szCs w:val="36"/>
        </w:rPr>
      </w:pPr>
      <w:r>
        <w:rPr>
          <w:rFonts w:ascii="黑体" w:eastAsia="黑体" w:hAnsi="黑体" w:cs="仿宋_GB2312" w:hint="eastAsia"/>
          <w:b/>
          <w:sz w:val="36"/>
          <w:szCs w:val="36"/>
        </w:rPr>
        <w:t>安</w:t>
      </w:r>
      <w:r w:rsidR="009031FD">
        <w:rPr>
          <w:rFonts w:ascii="黑体" w:eastAsia="黑体" w:hAnsi="黑体" w:cs="仿宋_GB2312" w:hint="eastAsia"/>
          <w:b/>
          <w:sz w:val="36"/>
          <w:szCs w:val="36"/>
        </w:rPr>
        <w:t>装</w:t>
      </w:r>
      <w:r w:rsidR="00481DC8" w:rsidRPr="001D0D5F">
        <w:rPr>
          <w:rFonts w:ascii="黑体" w:eastAsia="黑体" w:hAnsi="黑体" w:cs="仿宋_GB2312" w:hint="eastAsia"/>
          <w:b/>
          <w:sz w:val="36"/>
          <w:szCs w:val="36"/>
        </w:rPr>
        <w:t>与调试</w:t>
      </w:r>
      <w:r w:rsidR="00481DC8">
        <w:rPr>
          <w:rFonts w:ascii="黑体" w:eastAsia="黑体" w:hAnsi="黑体" w:cs="仿宋_GB2312" w:hint="eastAsia"/>
          <w:b/>
          <w:sz w:val="36"/>
          <w:szCs w:val="36"/>
        </w:rPr>
        <w:t>技能竞赛</w:t>
      </w:r>
      <w:r w:rsidR="003F47E7">
        <w:rPr>
          <w:rFonts w:ascii="黑体" w:eastAsia="黑体" w:hAnsi="黑体" w:cs="仿宋_GB2312" w:hint="eastAsia"/>
          <w:b/>
          <w:sz w:val="36"/>
          <w:szCs w:val="36"/>
        </w:rPr>
        <w:t>的</w:t>
      </w:r>
      <w:r w:rsidR="00F56209">
        <w:rPr>
          <w:rFonts w:ascii="黑体" w:eastAsia="黑体" w:hAnsi="黑体" w:cs="仿宋_GB2312" w:hint="eastAsia"/>
          <w:b/>
          <w:sz w:val="36"/>
          <w:szCs w:val="36"/>
        </w:rPr>
        <w:t>预</w:t>
      </w:r>
      <w:r w:rsidR="003F47E7">
        <w:rPr>
          <w:rFonts w:ascii="黑体" w:eastAsia="黑体" w:hAnsi="黑体" w:cs="仿宋_GB2312" w:hint="eastAsia"/>
          <w:b/>
          <w:sz w:val="36"/>
          <w:szCs w:val="36"/>
        </w:rPr>
        <w:t>通知</w:t>
      </w:r>
    </w:p>
    <w:p w:rsidR="005761BC" w:rsidRPr="00210E8B" w:rsidRDefault="005439DD" w:rsidP="003F47E7">
      <w:pPr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</w:t>
      </w:r>
    </w:p>
    <w:p w:rsidR="000B6E4E" w:rsidRDefault="003F47E7" w:rsidP="00830894">
      <w:pPr>
        <w:spacing w:line="6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各有关院校：</w:t>
      </w:r>
    </w:p>
    <w:p w:rsidR="00307E89" w:rsidRDefault="000065BC" w:rsidP="00830894">
      <w:pPr>
        <w:spacing w:line="660" w:lineRule="exact"/>
        <w:ind w:firstLine="555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为</w:t>
      </w:r>
      <w:r w:rsidR="00FB5E04" w:rsidRPr="00FB5E0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贯彻落实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《国家中长期教育改革和发展规划纲要</w:t>
      </w:r>
      <w:r w:rsidRPr="00FB5E0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（2010-2020年）</w:t>
      </w:r>
      <w:r w:rsidR="001F29C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》和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《中国制造2025》</w:t>
      </w:r>
      <w:r w:rsidR="00AF783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战略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的精神</w:t>
      </w:r>
      <w:r w:rsidR="00FB5E04" w:rsidRPr="00FB5E0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="001F29CF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推动</w:t>
      </w:r>
      <w:r w:rsidR="001F29CF" w:rsidRPr="00FB5E0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职业院校的</w:t>
      </w:r>
      <w:r w:rsidR="001F29CF" w:rsidRPr="001C63B5">
        <w:rPr>
          <w:rFonts w:ascii="仿宋_GB2312" w:eastAsia="仿宋_GB2312" w:hAnsi="仿宋" w:cs="仿宋_GB2312" w:hint="eastAsia"/>
          <w:sz w:val="28"/>
          <w:szCs w:val="28"/>
        </w:rPr>
        <w:t>新能源装备技术类专业</w:t>
      </w:r>
      <w:r w:rsidR="009156F0" w:rsidRPr="009156F0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创新建设和人才培养质量提升，根据机职指委﹝2016﹞37</w:t>
      </w:r>
    </w:p>
    <w:p w:rsidR="00030B63" w:rsidRDefault="009156F0" w:rsidP="00830894">
      <w:pPr>
        <w:spacing w:line="6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 w:rsidRPr="009156F0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号要求，</w:t>
      </w:r>
      <w:r w:rsidR="005439D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按照</w:t>
      </w:r>
      <w:r w:rsidR="005439DD" w:rsidRPr="005439D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2016年7</w:t>
      </w:r>
      <w:r w:rsidR="005439D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5439DD" w:rsidRPr="005439D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全国新能源装备技术类专指委主任委员工作会议</w:t>
      </w:r>
      <w:r w:rsidR="005439D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部署，</w:t>
      </w:r>
      <w:r w:rsid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初步定于2017年9月在湖南电气职业技术学院举办第一届</w:t>
      </w:r>
      <w:r w:rsidR="004A19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“华纳杯”</w:t>
      </w:r>
      <w:r w:rsidR="00C35F00" w:rsidRP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全国</w:t>
      </w:r>
      <w:r w:rsidR="00210E8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风力发电系统</w:t>
      </w:r>
      <w:r w:rsidR="0055301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安装</w:t>
      </w:r>
      <w:r w:rsidR="00C35F00" w:rsidRP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与调试技能竞赛</w:t>
      </w:r>
      <w:r w:rsidR="00952F6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。现</w:t>
      </w:r>
      <w:r w:rsidR="0040576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将</w:t>
      </w:r>
      <w:r w:rsidR="00952F6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竞赛有</w:t>
      </w:r>
    </w:p>
    <w:p w:rsidR="000065BC" w:rsidRDefault="00952F60" w:rsidP="00830894">
      <w:pPr>
        <w:spacing w:line="6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关事项通知如下：</w:t>
      </w:r>
    </w:p>
    <w:p w:rsidR="00FB5E04" w:rsidRPr="0005290D" w:rsidRDefault="008C4295" w:rsidP="00830894">
      <w:pPr>
        <w:spacing w:line="660" w:lineRule="exact"/>
        <w:ind w:firstLineChars="50" w:firstLine="141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一、组织机构</w:t>
      </w:r>
    </w:p>
    <w:p w:rsidR="00B6078F" w:rsidRDefault="0005290D" w:rsidP="00830894">
      <w:pPr>
        <w:spacing w:line="660" w:lineRule="exact"/>
        <w:ind w:firstLineChars="200" w:firstLine="562"/>
        <w:rPr>
          <w:rFonts w:ascii="仿宋_GB2312" w:eastAsia="仿宋_GB2312" w:hAnsi="仿宋" w:cs="仿宋_GB2312"/>
          <w:sz w:val="28"/>
          <w:szCs w:val="28"/>
        </w:rPr>
      </w:pPr>
      <w:r w:rsidRPr="001C63B5">
        <w:rPr>
          <w:rFonts w:ascii="仿宋_GB2312" w:eastAsia="仿宋_GB2312" w:hAnsi="仿宋" w:cs="仿宋_GB2312" w:hint="eastAsia"/>
          <w:b/>
          <w:sz w:val="28"/>
          <w:szCs w:val="28"/>
        </w:rPr>
        <w:t>主办单位</w:t>
      </w:r>
      <w:r w:rsidRPr="00737D58">
        <w:rPr>
          <w:rFonts w:ascii="仿宋_GB2312" w:eastAsia="仿宋_GB2312" w:hAnsi="仿宋" w:cs="仿宋_GB2312" w:hint="eastAsia"/>
          <w:sz w:val="28"/>
          <w:szCs w:val="28"/>
        </w:rPr>
        <w:t>：全国机械职业教育教学指导委员会</w:t>
      </w:r>
    </w:p>
    <w:p w:rsidR="0005290D" w:rsidRPr="00737D58" w:rsidRDefault="0005290D" w:rsidP="00830894">
      <w:pPr>
        <w:spacing w:line="660" w:lineRule="exact"/>
        <w:ind w:firstLineChars="700" w:firstLine="1960"/>
        <w:rPr>
          <w:rFonts w:ascii="仿宋_GB2312" w:eastAsia="仿宋_GB2312" w:hAnsi="仿宋" w:cs="仿宋_GB2312"/>
          <w:sz w:val="28"/>
          <w:szCs w:val="28"/>
        </w:rPr>
      </w:pPr>
      <w:r w:rsidRPr="001C63B5">
        <w:rPr>
          <w:rFonts w:ascii="仿宋_GB2312" w:eastAsia="仿宋_GB2312" w:hAnsi="仿宋" w:cs="仿宋_GB2312" w:hint="eastAsia"/>
          <w:sz w:val="28"/>
          <w:szCs w:val="28"/>
        </w:rPr>
        <w:t>新能源装备技术类专业教学指导委员会</w:t>
      </w:r>
    </w:p>
    <w:p w:rsidR="00B6078F" w:rsidRDefault="0005290D" w:rsidP="00830894">
      <w:pPr>
        <w:spacing w:line="660" w:lineRule="exact"/>
        <w:ind w:firstLineChars="200" w:firstLine="562"/>
        <w:rPr>
          <w:rFonts w:ascii="仿宋_GB2312" w:eastAsia="仿宋_GB2312" w:hAnsi="仿宋" w:cs="仿宋_GB2312"/>
          <w:sz w:val="28"/>
          <w:szCs w:val="28"/>
        </w:rPr>
      </w:pPr>
      <w:r w:rsidRPr="001C63B5">
        <w:rPr>
          <w:rFonts w:ascii="仿宋_GB2312" w:eastAsia="仿宋_GB2312" w:hAnsi="仿宋" w:cs="仿宋_GB2312" w:hint="eastAsia"/>
          <w:b/>
          <w:sz w:val="28"/>
          <w:szCs w:val="28"/>
        </w:rPr>
        <w:t>承办单位：</w:t>
      </w:r>
      <w:r w:rsidRPr="00737D58">
        <w:rPr>
          <w:rFonts w:ascii="仿宋_GB2312" w:eastAsia="仿宋_GB2312" w:hAnsi="仿宋" w:cs="仿宋_GB2312" w:hint="eastAsia"/>
          <w:sz w:val="28"/>
          <w:szCs w:val="28"/>
        </w:rPr>
        <w:t>湖南电气职业技术学院</w:t>
      </w:r>
    </w:p>
    <w:p w:rsidR="0005290D" w:rsidRPr="00737D58" w:rsidRDefault="0005290D" w:rsidP="00830894">
      <w:pPr>
        <w:spacing w:line="660" w:lineRule="exact"/>
        <w:ind w:firstLineChars="700" w:firstLine="1960"/>
        <w:rPr>
          <w:rFonts w:ascii="仿宋_GB2312" w:eastAsia="仿宋_GB2312" w:hAnsi="仿宋" w:cs="仿宋_GB2312"/>
          <w:sz w:val="28"/>
          <w:szCs w:val="28"/>
        </w:rPr>
      </w:pPr>
      <w:r w:rsidRPr="00737D58">
        <w:rPr>
          <w:rFonts w:ascii="仿宋_GB2312" w:eastAsia="仿宋_GB2312" w:hAnsi="仿宋" w:cs="仿宋_GB2312" w:hint="eastAsia"/>
          <w:sz w:val="28"/>
          <w:szCs w:val="28"/>
        </w:rPr>
        <w:t>沈阳华纳科技有限公司</w:t>
      </w:r>
    </w:p>
    <w:p w:rsidR="00DE4342" w:rsidRDefault="00D870BC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为保证竞赛顺利进行，</w:t>
      </w:r>
      <w:r w:rsidR="00FA318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成立</w:t>
      </w:r>
      <w:r w:rsidR="00FA3181" w:rsidRP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全国</w:t>
      </w:r>
      <w:r w:rsidR="00210E8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风力发电系统</w:t>
      </w:r>
      <w:r w:rsidR="0055301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安</w:t>
      </w:r>
      <w:r w:rsidR="00FA3181" w:rsidRP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装与调试技能竞</w:t>
      </w:r>
      <w:r w:rsidR="00FA3181" w:rsidRPr="00C35F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赛</w:t>
      </w:r>
      <w:r w:rsidR="00D1064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组织委员会（以下简称“</w:t>
      </w:r>
      <w:r w:rsidR="00FA318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组委会”）</w:t>
      </w:r>
      <w:r w:rsidR="00D1064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组委会负责竞赛整体安排和组织管理，对竞赛各项组织和赛事工作进行指导和检查，并对竞赛期间的重大事项进行决策。组委会下设秘书处（赛务组）、专家组、裁判组、仲裁组、技术组、宣传组、后勤接待组、安全保障组。</w:t>
      </w:r>
    </w:p>
    <w:p w:rsidR="004C695B" w:rsidRPr="0005290D" w:rsidRDefault="006E30FA" w:rsidP="00830894">
      <w:pPr>
        <w:spacing w:line="6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二</w:t>
      </w:r>
      <w:r w:rsidR="004C695B"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 w:rsidR="00977FAE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竞赛时间</w:t>
      </w:r>
      <w:r w:rsidR="00DE0780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和</w:t>
      </w:r>
      <w:r w:rsidR="00977FAE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地点</w:t>
      </w:r>
    </w:p>
    <w:p w:rsidR="004C695B" w:rsidRPr="0074790A" w:rsidRDefault="00977FAE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1. 竞赛时间</w:t>
      </w:r>
    </w:p>
    <w:p w:rsidR="00977FAE" w:rsidRDefault="00977FA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初步定于2017年9月</w:t>
      </w:r>
      <w:r w:rsidR="008320F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下旬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977FAE" w:rsidRPr="0074790A" w:rsidRDefault="00977FAE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2. 竞赛地点</w:t>
      </w:r>
    </w:p>
    <w:p w:rsidR="00EA3291" w:rsidRDefault="00977FA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A821D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湖南电气职业技术学院</w:t>
      </w:r>
      <w:r w:rsidR="008320F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（湖南省湘潭市）</w:t>
      </w:r>
    </w:p>
    <w:p w:rsidR="00977FAE" w:rsidRPr="0005290D" w:rsidRDefault="00652EDF" w:rsidP="00830894">
      <w:pPr>
        <w:spacing w:line="6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三</w:t>
      </w:r>
      <w:r w:rsidR="00977FAE"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 w:rsidR="00977FAE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参赛对象</w:t>
      </w:r>
      <w:r w:rsidR="00DE0780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报名</w:t>
      </w:r>
    </w:p>
    <w:p w:rsidR="00F03044" w:rsidRPr="0074790A" w:rsidRDefault="00F03044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1. 参赛对象</w:t>
      </w:r>
    </w:p>
    <w:p w:rsidR="007B0F79" w:rsidRDefault="007B0F79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（1）本竞赛设高等学校组</w:t>
      </w:r>
      <w:r w:rsidR="00BA6A2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和中职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学校组两个</w:t>
      </w:r>
      <w:r w:rsidR="000A39F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别。</w:t>
      </w:r>
    </w:p>
    <w:p w:rsidR="00E10FB0" w:rsidRPr="00E10FB0" w:rsidRDefault="00E10FB0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本竞赛采取团体竞赛形式。每个参赛队由3</w:t>
      </w:r>
      <w:r w:rsidR="00D3478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名在校学生组成，性别不限。原则上每个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校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限</w:t>
      </w:r>
      <w:r w:rsidR="00E91D0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派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</w:t>
      </w:r>
      <w:r w:rsidR="00E91D0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参赛队，不允许跨校组队。</w:t>
      </w:r>
    </w:p>
    <w:p w:rsidR="007B0F79" w:rsidRPr="007B0F79" w:rsidRDefault="00E10FB0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7B0F7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（3）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</w:t>
      </w:r>
      <w:r w:rsidRPr="007B0F7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学生不受年龄限制，须就读于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新能源</w:t>
      </w:r>
      <w:r w:rsidRPr="007B0F7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相关专业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，须遵守国家有关法律法规和院校</w:t>
      </w:r>
      <w:r w:rsidR="007B0F79" w:rsidRPr="007B0F7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各项规章制度，刻苦学习，钻研技术，成绩优良。</w:t>
      </w:r>
    </w:p>
    <w:p w:rsidR="007B0F79" w:rsidRDefault="00E10FB0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（4）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每个参赛队</w:t>
      </w:r>
      <w:r w:rsidR="00031F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设1名领队，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可配备</w:t>
      </w:r>
      <w:r w:rsidR="00031F24"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2名</w:t>
      </w:r>
      <w:r w:rsidRPr="00E10FB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指导教师。指导教师须为本校专兼职教师。</w:t>
      </w:r>
    </w:p>
    <w:p w:rsidR="00F03044" w:rsidRPr="0074790A" w:rsidRDefault="00F03044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2. 报名方法</w:t>
      </w:r>
    </w:p>
    <w:p w:rsidR="0074790A" w:rsidRPr="0074790A" w:rsidRDefault="0074790A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）以每个</w:t>
      </w:r>
      <w:r w:rsidRPr="0074790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院校为单位统一进行报名。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参赛院校必须认真填写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《竞赛报名表》</w:t>
      </w:r>
      <w:r w:rsidR="00131D0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并按要求及时</w:t>
      </w:r>
      <w:r w:rsidR="00CC100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提交</w:t>
      </w:r>
      <w:r w:rsidR="00131D0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到</w:t>
      </w:r>
      <w:r w:rsidR="005B18B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</w:t>
      </w:r>
      <w:r w:rsidR="00131D0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竞赛指定的电子邮箱中。</w:t>
      </w:r>
    </w:p>
    <w:p w:rsidR="004C695B" w:rsidRDefault="0074790A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）竞赛组委会有权根据</w:t>
      </w:r>
      <w:r w:rsidR="00EA329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报名</w:t>
      </w:r>
      <w:r w:rsidR="00EA329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的实际</w:t>
      </w:r>
      <w:r w:rsidRPr="0074790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情况最终确定正式参赛的</w:t>
      </w:r>
      <w:r w:rsidR="00EA329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院校参赛队数量</w:t>
      </w:r>
      <w:r w:rsidRPr="0074790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3D6750" w:rsidRPr="0005290D" w:rsidRDefault="003D6750" w:rsidP="00830894">
      <w:pPr>
        <w:spacing w:line="6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四</w:t>
      </w:r>
      <w:r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竞赛内容</w:t>
      </w:r>
      <w:r w:rsidR="00DE0780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方式</w:t>
      </w:r>
    </w:p>
    <w:p w:rsidR="00DE0780" w:rsidRPr="0074790A" w:rsidRDefault="00DE0780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竞赛内容</w:t>
      </w:r>
    </w:p>
    <w:p w:rsidR="00D85DDB" w:rsidRPr="0011398C" w:rsidRDefault="00D85DDB" w:rsidP="00830894">
      <w:pPr>
        <w:spacing w:line="660" w:lineRule="exac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（</w:t>
      </w:r>
      <w:r w:rsidR="00587E8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本竞赛</w:t>
      </w:r>
      <w:r>
        <w:rPr>
          <w:rFonts w:ascii="仿宋_GB2312" w:eastAsia="仿宋_GB2312" w:hAnsi="仿宋" w:hint="eastAsia"/>
          <w:sz w:val="28"/>
          <w:szCs w:val="28"/>
        </w:rPr>
        <w:t>由实操技能、职业素养两部分内容组成，</w:t>
      </w:r>
      <w:r w:rsidR="00735AB7">
        <w:rPr>
          <w:rFonts w:ascii="仿宋_GB2312" w:eastAsia="仿宋_GB2312" w:hAnsi="仿宋" w:hint="eastAsia"/>
          <w:sz w:val="28"/>
          <w:szCs w:val="28"/>
        </w:rPr>
        <w:t>分别采用结果评分方式、过程评分方式；竞赛时间为4小时；</w:t>
      </w:r>
      <w:r>
        <w:rPr>
          <w:rFonts w:ascii="仿宋_GB2312" w:eastAsia="仿宋_GB2312" w:hAnsi="仿宋" w:hint="eastAsia"/>
          <w:sz w:val="28"/>
          <w:szCs w:val="28"/>
        </w:rPr>
        <w:t>实操技能部分占权重</w:t>
      </w:r>
      <w:r>
        <w:rPr>
          <w:rFonts w:ascii="仿宋_GB2312" w:eastAsia="仿宋_GB2312" w:hAnsi="仿宋"/>
          <w:sz w:val="28"/>
          <w:szCs w:val="28"/>
        </w:rPr>
        <w:t>95%</w:t>
      </w:r>
      <w:r>
        <w:rPr>
          <w:rFonts w:ascii="仿宋_GB2312" w:eastAsia="仿宋_GB2312" w:hAnsi="仿宋" w:hint="eastAsia"/>
          <w:sz w:val="28"/>
          <w:szCs w:val="28"/>
        </w:rPr>
        <w:t>，职业素养部分占权重</w:t>
      </w:r>
      <w:r>
        <w:rPr>
          <w:rFonts w:ascii="仿宋_GB2312" w:eastAsia="仿宋_GB2312" w:hAnsi="仿宋"/>
          <w:sz w:val="28"/>
          <w:szCs w:val="28"/>
        </w:rPr>
        <w:t>5%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693"/>
        <w:gridCol w:w="2268"/>
        <w:gridCol w:w="1560"/>
      </w:tblGrid>
      <w:tr w:rsidR="00735AB7" w:rsidTr="00735AB7">
        <w:tc>
          <w:tcPr>
            <w:tcW w:w="1843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b/>
                <w:sz w:val="28"/>
                <w:szCs w:val="28"/>
              </w:rPr>
              <w:t>竞赛内容</w:t>
            </w:r>
          </w:p>
        </w:tc>
        <w:tc>
          <w:tcPr>
            <w:tcW w:w="2693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b/>
                <w:sz w:val="28"/>
                <w:szCs w:val="28"/>
              </w:rPr>
              <w:t>竞赛时间（小时）</w:t>
            </w:r>
          </w:p>
        </w:tc>
        <w:tc>
          <w:tcPr>
            <w:tcW w:w="2268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所占权重（</w:t>
            </w:r>
            <w:r w:rsidRPr="0011398C">
              <w:rPr>
                <w:rFonts w:ascii="仿宋_GB2312" w:eastAsia="仿宋_GB2312" w:hAnsi="宋体"/>
                <w:b/>
                <w:sz w:val="28"/>
                <w:szCs w:val="28"/>
              </w:rPr>
              <w:t>%</w:t>
            </w:r>
            <w:r w:rsidRPr="0011398C">
              <w:rPr>
                <w:rFonts w:ascii="仿宋_GB2312" w:eastAsia="仿宋_GB2312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60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评分方式</w:t>
            </w:r>
          </w:p>
        </w:tc>
      </w:tr>
      <w:tr w:rsidR="00735AB7" w:rsidTr="00735AB7">
        <w:tc>
          <w:tcPr>
            <w:tcW w:w="1843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sz w:val="28"/>
                <w:szCs w:val="28"/>
              </w:rPr>
              <w:t>实操技能</w:t>
            </w:r>
          </w:p>
        </w:tc>
        <w:tc>
          <w:tcPr>
            <w:tcW w:w="2693" w:type="dxa"/>
            <w:vMerge w:val="restart"/>
            <w:vAlign w:val="center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398C">
              <w:rPr>
                <w:rFonts w:ascii="仿宋_GB2312" w:eastAsia="仿宋_GB2312" w:hAnsi="宋体"/>
                <w:sz w:val="28"/>
                <w:szCs w:val="28"/>
              </w:rPr>
              <w:t>95</w:t>
            </w:r>
          </w:p>
        </w:tc>
        <w:tc>
          <w:tcPr>
            <w:tcW w:w="1560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结果评分</w:t>
            </w:r>
          </w:p>
        </w:tc>
      </w:tr>
      <w:tr w:rsidR="00735AB7" w:rsidTr="00735AB7">
        <w:tc>
          <w:tcPr>
            <w:tcW w:w="1843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398C">
              <w:rPr>
                <w:rFonts w:ascii="仿宋_GB2312" w:eastAsia="仿宋_GB2312" w:hAnsi="宋体" w:hint="eastAsia"/>
                <w:sz w:val="28"/>
                <w:szCs w:val="28"/>
              </w:rPr>
              <w:t>职业素养</w:t>
            </w:r>
          </w:p>
        </w:tc>
        <w:tc>
          <w:tcPr>
            <w:tcW w:w="2693" w:type="dxa"/>
            <w:vMerge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398C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735AB7" w:rsidRPr="0011398C" w:rsidRDefault="00735AB7" w:rsidP="00830894">
            <w:pPr>
              <w:snapToGrid w:val="0"/>
              <w:spacing w:beforeLines="50" w:line="6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过程评分</w:t>
            </w:r>
          </w:p>
        </w:tc>
      </w:tr>
    </w:tbl>
    <w:p w:rsidR="002C2CC1" w:rsidRPr="002C2CC1" w:rsidRDefault="00587E8B" w:rsidP="00830894">
      <w:pPr>
        <w:spacing w:line="660" w:lineRule="exact"/>
        <w:ind w:firstLine="555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（2）实操技能竞赛</w:t>
      </w:r>
      <w:r w:rsidR="005E45E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</w:t>
      </w:r>
      <w:r w:rsidR="00B1104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为</w:t>
      </w:r>
      <w:r w:rsid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两个阶段：</w:t>
      </w:r>
      <w:r w:rsidR="002C2CC1" w:rsidRP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风电机组整机厂安装与调试（包括风轮安装与调试、机舱安装与调试两个模块）、风电场整机吊装与调试（包括整机吊装、整机调试与运行两个模块）</w:t>
      </w:r>
      <w:r w:rsid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735AB7" w:rsidRPr="00DC6958" w:rsidRDefault="00DC6958" w:rsidP="00830894">
      <w:pPr>
        <w:spacing w:line="660" w:lineRule="exact"/>
        <w:ind w:firstLine="555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（3）</w:t>
      </w:r>
      <w:r w:rsidR="00D2129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职业素养竞赛主要</w:t>
      </w:r>
      <w:r w:rsid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考核参赛队</w:t>
      </w:r>
      <w:r w:rsidR="00735AB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的职业道德</w:t>
      </w:r>
      <w:r w:rsid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</w:t>
      </w:r>
      <w:r w:rsidR="00735AB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职业安全</w:t>
      </w:r>
      <w:r w:rsidR="00C33BF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</w:t>
      </w:r>
      <w:r w:rsidR="002C2CC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团队</w:t>
      </w:r>
      <w:r w:rsidR="00C33BF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合作</w:t>
      </w:r>
      <w:r w:rsidR="00735AB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DE0780" w:rsidRPr="0074790A" w:rsidRDefault="00DE0780" w:rsidP="00830894">
      <w:pPr>
        <w:spacing w:line="66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</w:t>
      </w:r>
      <w:r w:rsidRPr="0074790A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竞赛方式</w:t>
      </w:r>
    </w:p>
    <w:p w:rsidR="00DA1E3F" w:rsidRPr="00DA1E3F" w:rsidRDefault="00DA1E3F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（1）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参赛队的3名选手在竞赛现场按照竞赛任务要求，在竞赛设备</w:t>
      </w:r>
      <w:r w:rsidR="007E14E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</w:t>
      </w:r>
      <w:r w:rsidR="00390B20" w:rsidRPr="00390B2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HN-YFZ01型风力发电机组装配与调试实训装置</w:t>
      </w:r>
      <w:r w:rsidR="007E14E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上合作完成任务书给定的</w:t>
      </w:r>
      <w:r w:rsidR="002319E9"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任务。</w:t>
      </w:r>
    </w:p>
    <w:p w:rsidR="003D6750" w:rsidRDefault="00DA1E3F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（2）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本竞赛各参赛队的抽签顺序和竞赛的场次通过现场抽签来确定。每个参赛队竞赛的工位号，在竞赛检录时通过二次加密抽签确定。抽签工作由加密裁判员主持，监督人员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负责</w:t>
      </w:r>
      <w:r w:rsidRPr="00DA1E3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现场监督。</w:t>
      </w:r>
    </w:p>
    <w:p w:rsidR="00926A99" w:rsidRDefault="00926A99" w:rsidP="00830894">
      <w:pPr>
        <w:spacing w:line="660" w:lineRule="exact"/>
        <w:ind w:firstLine="57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（3）竞赛样题将在竞赛前</w:t>
      </w:r>
      <w:r w:rsidR="00A5199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个月</w:t>
      </w:r>
      <w:r w:rsidR="00C03CC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内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正式发布。</w:t>
      </w:r>
    </w:p>
    <w:p w:rsidR="002278D8" w:rsidRDefault="00C20F7A" w:rsidP="00830894">
      <w:pPr>
        <w:spacing w:line="6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五</w:t>
      </w:r>
      <w:r w:rsidR="002278D8"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 w:rsidR="002278D8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奖项设定</w:t>
      </w:r>
    </w:p>
    <w:p w:rsidR="002278D8" w:rsidRPr="002278D8" w:rsidRDefault="002278D8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 w:rsidR="00C70D8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以</w:t>
      </w: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实际参赛队总数作为基数，一、二、三等奖</w:t>
      </w:r>
      <w:r w:rsidR="0096668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</w:t>
      </w: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获奖比例分别为10%、2</w:t>
      </w:r>
      <w:r w:rsidR="008320F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%、3</w:t>
      </w:r>
      <w:r w:rsidR="008320F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%（小数点后四舍五入）。</w:t>
      </w:r>
    </w:p>
    <w:p w:rsidR="002278D8" w:rsidRPr="002278D8" w:rsidRDefault="002278D8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2. 获得一等奖的参赛队，由组委会颁发获奖证书、奖杯、奖品；获得二、三等奖的参赛队，由组委会颁发获奖证书、奖牌、奖品。</w:t>
      </w:r>
    </w:p>
    <w:p w:rsidR="002278D8" w:rsidRPr="002278D8" w:rsidRDefault="002278D8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3. 获得一等奖参赛队的指导教师,由组委会颁发“优秀指导教师奖”荣誉证书。</w:t>
      </w:r>
    </w:p>
    <w:p w:rsidR="002278D8" w:rsidRDefault="002278D8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2278D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4. 获得一、二、三等奖参赛队的院校，由组委会颁发“优胜院校”荣誉证书。</w:t>
      </w:r>
    </w:p>
    <w:p w:rsidR="002E131C" w:rsidRDefault="002E131C" w:rsidP="00830894">
      <w:pPr>
        <w:spacing w:line="6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六</w:t>
      </w:r>
      <w:r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收费标准</w:t>
      </w:r>
    </w:p>
    <w:p w:rsidR="002E131C" w:rsidRDefault="002E131C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 本竞赛</w:t>
      </w:r>
      <w:r w:rsidR="0003520E" w:rsidRPr="0003520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免收报名费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03520E" w:rsidRDefault="002E131C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2. 竞赛</w:t>
      </w:r>
      <w:r w:rsidR="0003520E" w:rsidRPr="0003520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期间统一安排食宿，费用自理。</w:t>
      </w:r>
    </w:p>
    <w:p w:rsidR="00E91D0F" w:rsidRDefault="00E91D0F" w:rsidP="00830894">
      <w:pPr>
        <w:spacing w:line="6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七</w:t>
      </w:r>
      <w:r w:rsidRPr="0005290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竞赛培训</w:t>
      </w:r>
    </w:p>
    <w:p w:rsidR="00205C17" w:rsidRDefault="00E91D0F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 本竞赛</w:t>
      </w:r>
      <w:r w:rsidR="0042040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2017年</w:t>
      </w:r>
      <w:r w:rsidR="00030B6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35734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组织</w:t>
      </w:r>
      <w:r w:rsidR="00307E8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指导教师</w:t>
      </w:r>
      <w:r w:rsidR="0035734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教师培训，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8月组织</w:t>
      </w:r>
      <w:r w:rsidR="00307E8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</w:t>
      </w:r>
      <w:r w:rsidR="0035734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学生</w:t>
      </w:r>
      <w:r w:rsidR="00307E8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竞赛培训</w:t>
      </w:r>
      <w:r w:rsidR="00205C1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205C17" w:rsidRDefault="00205C17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2. 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培训地点待定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EC4FB8" w:rsidRDefault="00205C17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. 沈阳华纳科技有限公司受竞赛组委会的委托，全面负责竞赛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培训工作，</w:t>
      </w:r>
      <w:r w:rsidR="00F91CB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在</w:t>
      </w:r>
      <w:r w:rsidR="00EC4FB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培训期间提供竞赛设备、工具、耗材、培训材料。</w:t>
      </w:r>
    </w:p>
    <w:p w:rsidR="00E91D0F" w:rsidRDefault="00205C17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4. 培训</w:t>
      </w:r>
      <w:r w:rsidRPr="0003520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期间统一安排食宿，费用自理。</w:t>
      </w:r>
    </w:p>
    <w:p w:rsidR="008E2B7E" w:rsidRPr="0005290D" w:rsidRDefault="00E91D0F" w:rsidP="00830894">
      <w:pPr>
        <w:spacing w:line="6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八</w:t>
      </w:r>
      <w:r w:rsidR="008E2B7E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、联系方式</w:t>
      </w:r>
    </w:p>
    <w:p w:rsidR="008E2B7E" w:rsidRDefault="008E2B7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秘书处（赛务组）设在</w:t>
      </w:r>
      <w:r w:rsidRPr="00A821D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湖南电气职业技术学院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Pr="004B657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负责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竞赛</w:t>
      </w:r>
      <w:r w:rsidRPr="004B657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日常组织及事务性工作。</w:t>
      </w:r>
    </w:p>
    <w:p w:rsidR="008E2B7E" w:rsidRDefault="008E2B7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地  址：</w:t>
      </w:r>
      <w:r w:rsidRPr="004B657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湖南省湘潭市下摄司街2号</w:t>
      </w:r>
    </w:p>
    <w:p w:rsidR="008E2B7E" w:rsidRDefault="008E2B7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邮  编：</w:t>
      </w:r>
      <w:r w:rsidRPr="004B6573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411101</w:t>
      </w:r>
    </w:p>
    <w:p w:rsidR="008E2B7E" w:rsidRDefault="008E2B7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联系人：</w:t>
      </w:r>
      <w:r w:rsidRPr="004C695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 w:rsidRPr="004C695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燕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 w:rsidRPr="004C695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13574086007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hyperlink r:id="rId7" w:history="1">
        <w:r w:rsidR="00FB45DB" w:rsidRPr="008C6F2E">
          <w:rPr>
            <w:rStyle w:val="a6"/>
            <w:rFonts w:ascii="仿宋_GB2312" w:eastAsia="仿宋_GB2312" w:hAnsi="仿宋_GB2312" w:cs="仿宋_GB2312" w:hint="eastAsia"/>
            <w:kern w:val="0"/>
            <w:sz w:val="28"/>
            <w:szCs w:val="28"/>
          </w:rPr>
          <w:t>39495638@qq.com</w:t>
        </w:r>
      </w:hyperlink>
    </w:p>
    <w:p w:rsidR="008E2B7E" w:rsidRDefault="008E2B7E" w:rsidP="00830894">
      <w:pPr>
        <w:spacing w:line="6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刘群革  13911809042  1004222083@qq.com</w:t>
      </w:r>
    </w:p>
    <w:p w:rsidR="00307E89" w:rsidRDefault="007E7241" w:rsidP="00830894">
      <w:pPr>
        <w:spacing w:line="660" w:lineRule="exact"/>
        <w:ind w:firstLineChars="1350" w:firstLine="3780"/>
        <w:rPr>
          <w:rFonts w:ascii="仿宋_GB2312" w:eastAsia="仿宋_GB2312" w:hAnsi="仿宋" w:cs="仿宋_GB2312" w:hint="eastAsia"/>
          <w:sz w:val="28"/>
          <w:szCs w:val="28"/>
        </w:rPr>
      </w:pPr>
      <w:r>
        <w:rPr>
          <w:rFonts w:ascii="仿宋_GB2312" w:eastAsia="仿宋_GB2312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263525</wp:posOffset>
            </wp:positionV>
            <wp:extent cx="1438275" cy="1468120"/>
            <wp:effectExtent l="19050" t="0" r="9525" b="0"/>
            <wp:wrapNone/>
            <wp:docPr id="2" name="图片 0" descr="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z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3"/>
                        </a:clrFrom>
                        <a:clrTo>
                          <a:srgbClr val="F6F5F3">
                            <a:alpha val="0"/>
                          </a:srgbClr>
                        </a:clrTo>
                      </a:clrChange>
                    </a:blip>
                    <a:srcRect l="21983" t="11012" r="22255" b="1336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919" w:rsidRDefault="00011919" w:rsidP="00830894">
      <w:pPr>
        <w:spacing w:line="660" w:lineRule="exact"/>
        <w:ind w:firstLineChars="1350" w:firstLine="3780"/>
        <w:rPr>
          <w:rFonts w:ascii="仿宋_GB2312" w:eastAsia="仿宋_GB2312" w:hAnsi="仿宋" w:cs="仿宋_GB2312"/>
          <w:sz w:val="28"/>
          <w:szCs w:val="28"/>
        </w:rPr>
      </w:pPr>
      <w:r w:rsidRPr="00737D58">
        <w:rPr>
          <w:rFonts w:ascii="仿宋_GB2312" w:eastAsia="仿宋_GB2312" w:hAnsi="仿宋" w:cs="仿宋_GB2312" w:hint="eastAsia"/>
          <w:sz w:val="28"/>
          <w:szCs w:val="28"/>
        </w:rPr>
        <w:t>全国机械职业教育教学指导委员会</w:t>
      </w:r>
    </w:p>
    <w:p w:rsidR="00011919" w:rsidRPr="00FF14CF" w:rsidRDefault="007E7241" w:rsidP="00830894">
      <w:pPr>
        <w:spacing w:line="660" w:lineRule="exact"/>
        <w:ind w:firstLineChars="1250" w:firstLine="350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6062345</wp:posOffset>
            </wp:positionV>
            <wp:extent cx="1428750" cy="1447800"/>
            <wp:effectExtent l="0" t="0" r="3028950" b="3086100"/>
            <wp:wrapNone/>
            <wp:docPr id="3" name="图片 0" descr="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z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3"/>
                        </a:clrFrom>
                        <a:clrTo>
                          <a:srgbClr val="F6F5F3">
                            <a:alpha val="0"/>
                          </a:srgbClr>
                        </a:clrTo>
                      </a:clrChange>
                    </a:blip>
                    <a:srcRect l="21983" t="11012" r="22255" b="1336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919" w:rsidRPr="00FF14CF">
        <w:rPr>
          <w:rFonts w:ascii="仿宋_GB2312" w:eastAsia="仿宋_GB2312" w:hAnsi="仿宋" w:cs="仿宋_GB2312" w:hint="eastAsia"/>
          <w:sz w:val="28"/>
          <w:szCs w:val="28"/>
        </w:rPr>
        <w:t>新能源装备技术类专业教学指导委员会</w:t>
      </w:r>
    </w:p>
    <w:p w:rsidR="00AE30E3" w:rsidRDefault="007E7241" w:rsidP="00830894">
      <w:pPr>
        <w:spacing w:line="6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6119495</wp:posOffset>
            </wp:positionV>
            <wp:extent cx="1428750" cy="1447800"/>
            <wp:effectExtent l="0" t="0" r="3028950" b="3086100"/>
            <wp:wrapNone/>
            <wp:docPr id="5" name="图片 0" descr="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z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3"/>
                        </a:clrFrom>
                        <a:clrTo>
                          <a:srgbClr val="F6F5F3">
                            <a:alpha val="0"/>
                          </a:srgbClr>
                        </a:clrTo>
                      </a:clrChange>
                    </a:blip>
                    <a:srcRect l="21983" t="11012" r="22255" b="1336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91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      </w:t>
      </w:r>
      <w:r w:rsidR="001C63B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 w:rsidR="0001191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2016年12月</w:t>
      </w:r>
      <w:r w:rsidR="000D7F1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</w:t>
      </w:r>
      <w:r w:rsidR="0001191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7E7241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6062345</wp:posOffset>
            </wp:positionV>
            <wp:extent cx="1428750" cy="1447800"/>
            <wp:effectExtent l="0" t="0" r="3028950" b="3086100"/>
            <wp:wrapNone/>
            <wp:docPr id="4" name="图片 0" descr="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z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3"/>
                        </a:clrFrom>
                        <a:clrTo>
                          <a:srgbClr val="F6F5F3">
                            <a:alpha val="0"/>
                          </a:srgbClr>
                        </a:clrTo>
                      </a:clrChange>
                    </a:blip>
                    <a:srcRect l="21983" t="11012" r="22255" b="1336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830894" w:rsidRDefault="00830894" w:rsidP="00DC50FE">
      <w:pPr>
        <w:spacing w:line="360" w:lineRule="auto"/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</w:pPr>
    </w:p>
    <w:p w:rsidR="00DC50FE" w:rsidRPr="00654442" w:rsidRDefault="00DC50FE" w:rsidP="00DC50FE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54442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附件</w:t>
      </w:r>
      <w:bookmarkStart w:id="0" w:name="_GoBack"/>
      <w:bookmarkEnd w:id="0"/>
      <w:r w:rsidRPr="00654442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：</w:t>
      </w:r>
    </w:p>
    <w:p w:rsidR="00DC50FE" w:rsidRPr="00654442" w:rsidRDefault="00DC50FE" w:rsidP="00DC50FE">
      <w:pPr>
        <w:jc w:val="center"/>
        <w:rPr>
          <w:rFonts w:ascii="仿宋" w:eastAsia="仿宋" w:hAnsi="仿宋"/>
          <w:b/>
          <w:sz w:val="44"/>
          <w:szCs w:val="44"/>
        </w:rPr>
      </w:pPr>
      <w:r w:rsidRPr="00654442">
        <w:rPr>
          <w:rFonts w:ascii="仿宋" w:eastAsia="仿宋" w:hAnsi="仿宋" w:cs="仿宋_GB2312" w:hint="eastAsia"/>
          <w:b/>
          <w:sz w:val="36"/>
          <w:szCs w:val="36"/>
        </w:rPr>
        <w:t>全国</w:t>
      </w:r>
      <w:r w:rsidR="00210E8B">
        <w:rPr>
          <w:rFonts w:ascii="仿宋" w:eastAsia="仿宋" w:hAnsi="仿宋" w:cs="仿宋_GB2312" w:hint="eastAsia"/>
          <w:b/>
          <w:sz w:val="36"/>
          <w:szCs w:val="36"/>
        </w:rPr>
        <w:t>风力发电系统</w:t>
      </w:r>
      <w:r w:rsidRPr="00654442">
        <w:rPr>
          <w:rFonts w:ascii="仿宋" w:eastAsia="仿宋" w:hAnsi="仿宋" w:cs="仿宋_GB2312" w:hint="eastAsia"/>
          <w:b/>
          <w:sz w:val="36"/>
          <w:szCs w:val="36"/>
        </w:rPr>
        <w:t>安装与调试技能竞赛报名表</w:t>
      </w:r>
    </w:p>
    <w:p w:rsidR="00BA6A25" w:rsidRPr="00BA6A25" w:rsidRDefault="00BA6A25" w:rsidP="00DC50FE">
      <w:pPr>
        <w:spacing w:line="360" w:lineRule="auto"/>
        <w:rPr>
          <w:rFonts w:ascii="仿宋" w:eastAsia="仿宋" w:hAnsi="仿宋"/>
          <w:sz w:val="24"/>
          <w:szCs w:val="24"/>
        </w:rPr>
      </w:pPr>
      <w:r w:rsidRPr="00BA6A25">
        <w:rPr>
          <w:rFonts w:ascii="仿宋" w:eastAsia="仿宋" w:hAnsi="仿宋" w:hint="eastAsia"/>
          <w:sz w:val="24"/>
          <w:szCs w:val="24"/>
        </w:rPr>
        <w:t>竞赛组别：</w:t>
      </w:r>
      <w:r w:rsidR="004B313C">
        <w:rPr>
          <w:rFonts w:ascii="仿宋" w:eastAsia="仿宋" w:hAnsi="仿宋" w:hint="eastAsia"/>
          <w:sz w:val="24"/>
          <w:szCs w:val="24"/>
        </w:rPr>
        <w:t xml:space="preserve">      </w:t>
      </w:r>
      <w:r w:rsidR="00600A86">
        <w:rPr>
          <w:rFonts w:ascii="仿宋" w:eastAsia="仿宋" w:hAnsi="仿宋" w:hint="eastAsia"/>
          <w:sz w:val="24"/>
          <w:szCs w:val="24"/>
        </w:rPr>
        <w:t xml:space="preserve">   </w:t>
      </w:r>
      <w:r w:rsidR="004B313C">
        <w:rPr>
          <w:rFonts w:ascii="仿宋" w:eastAsia="仿宋" w:hAnsi="仿宋" w:hint="eastAsia"/>
          <w:sz w:val="24"/>
          <w:szCs w:val="24"/>
        </w:rPr>
        <w:t xml:space="preserve"> □</w:t>
      </w:r>
      <w:r w:rsidRPr="00BA6A25">
        <w:rPr>
          <w:rFonts w:ascii="仿宋" w:eastAsia="仿宋" w:hAnsi="仿宋" w:hint="eastAsia"/>
          <w:sz w:val="24"/>
          <w:szCs w:val="24"/>
        </w:rPr>
        <w:t xml:space="preserve">高等学校组             </w:t>
      </w:r>
      <w:r w:rsidR="004B313C">
        <w:rPr>
          <w:rFonts w:ascii="仿宋" w:eastAsia="仿宋" w:hAnsi="仿宋" w:hint="eastAsia"/>
          <w:sz w:val="24"/>
          <w:szCs w:val="24"/>
        </w:rPr>
        <w:t>□</w:t>
      </w:r>
      <w:r w:rsidRPr="00BA6A25">
        <w:rPr>
          <w:rFonts w:ascii="仿宋" w:eastAsia="仿宋" w:hAnsi="仿宋" w:hint="eastAsia"/>
          <w:sz w:val="24"/>
          <w:szCs w:val="24"/>
        </w:rPr>
        <w:t xml:space="preserve"> 中职学校组</w:t>
      </w:r>
    </w:p>
    <w:p w:rsidR="00DC50FE" w:rsidRPr="00654442" w:rsidRDefault="00DC50FE" w:rsidP="00DC50FE">
      <w:pPr>
        <w:spacing w:line="360" w:lineRule="auto"/>
        <w:rPr>
          <w:rFonts w:ascii="仿宋" w:eastAsia="仿宋" w:hAnsi="仿宋"/>
          <w:sz w:val="24"/>
          <w:szCs w:val="24"/>
        </w:rPr>
      </w:pPr>
      <w:r w:rsidRPr="00654442">
        <w:rPr>
          <w:rFonts w:ascii="仿宋" w:eastAsia="仿宋" w:hAnsi="仿宋" w:hint="eastAsia"/>
          <w:sz w:val="24"/>
          <w:szCs w:val="24"/>
        </w:rPr>
        <w:t>参赛院校：</w:t>
      </w:r>
    </w:p>
    <w:p w:rsidR="00DC50FE" w:rsidRDefault="00DC50FE" w:rsidP="00DC50FE">
      <w:pPr>
        <w:spacing w:line="360" w:lineRule="auto"/>
        <w:rPr>
          <w:rFonts w:ascii="仿宋" w:eastAsia="仿宋" w:hAnsi="仿宋"/>
          <w:sz w:val="24"/>
          <w:szCs w:val="24"/>
        </w:rPr>
      </w:pPr>
      <w:r w:rsidRPr="00654442">
        <w:rPr>
          <w:rFonts w:ascii="仿宋" w:eastAsia="仿宋" w:hAnsi="仿宋" w:hint="eastAsia"/>
          <w:sz w:val="24"/>
          <w:szCs w:val="24"/>
        </w:rPr>
        <w:t>通讯地址：</w:t>
      </w:r>
    </w:p>
    <w:p w:rsidR="00BA6A25" w:rsidRPr="00654442" w:rsidRDefault="00BA6A25" w:rsidP="00DC50FE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702"/>
        <w:gridCol w:w="1397"/>
        <w:gridCol w:w="1600"/>
        <w:gridCol w:w="1609"/>
        <w:gridCol w:w="2644"/>
      </w:tblGrid>
      <w:tr w:rsidR="00DC50FE" w:rsidRPr="00654442" w:rsidTr="008618F9">
        <w:tc>
          <w:tcPr>
            <w:tcW w:w="9039" w:type="dxa"/>
            <w:gridSpan w:val="6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领队（联系人）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9039" w:type="dxa"/>
            <w:gridSpan w:val="6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9039" w:type="dxa"/>
            <w:gridSpan w:val="6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参赛选手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0FE" w:rsidRPr="00654442" w:rsidTr="008618F9">
        <w:tc>
          <w:tcPr>
            <w:tcW w:w="1087" w:type="dxa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DC50FE" w:rsidRPr="00654442" w:rsidRDefault="00DC50FE" w:rsidP="008618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52" w:type="dxa"/>
            <w:gridSpan w:val="5"/>
            <w:shd w:val="clear" w:color="auto" w:fill="auto"/>
            <w:vAlign w:val="center"/>
          </w:tcPr>
          <w:p w:rsidR="00DC50FE" w:rsidRPr="00654442" w:rsidRDefault="00DC50FE" w:rsidP="008618F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50FE" w:rsidRPr="00654442" w:rsidRDefault="00DC50FE" w:rsidP="008618F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C50FE" w:rsidRPr="00654442" w:rsidRDefault="00DC50FE" w:rsidP="008618F9">
            <w:pPr>
              <w:spacing w:line="360" w:lineRule="auto"/>
              <w:ind w:firstLineChars="1750" w:firstLine="42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单位盖章：</w:t>
            </w:r>
          </w:p>
          <w:p w:rsidR="00DC50FE" w:rsidRPr="00654442" w:rsidRDefault="00DC50FE" w:rsidP="008618F9">
            <w:pPr>
              <w:spacing w:line="360" w:lineRule="auto"/>
              <w:ind w:firstLineChars="2450" w:firstLine="58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442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C50FE" w:rsidRPr="00654442" w:rsidRDefault="00DC50FE" w:rsidP="00D87AFE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654442">
        <w:rPr>
          <w:rFonts w:ascii="仿宋" w:eastAsia="仿宋" w:hAnsi="仿宋" w:hint="eastAsia"/>
          <w:sz w:val="24"/>
          <w:szCs w:val="24"/>
        </w:rPr>
        <w:t>注：请认真填写《</w:t>
      </w:r>
      <w:r w:rsidR="00D87AFE">
        <w:rPr>
          <w:rFonts w:ascii="仿宋" w:eastAsia="仿宋" w:hAnsi="仿宋" w:hint="eastAsia"/>
          <w:sz w:val="24"/>
          <w:szCs w:val="24"/>
        </w:rPr>
        <w:t>技能竞</w:t>
      </w:r>
      <w:r w:rsidRPr="00654442">
        <w:rPr>
          <w:rFonts w:ascii="仿宋" w:eastAsia="仿宋" w:hAnsi="仿宋" w:hint="eastAsia"/>
          <w:sz w:val="24"/>
          <w:szCs w:val="24"/>
        </w:rPr>
        <w:t>赛报名表》</w:t>
      </w:r>
      <w:r w:rsidRPr="004E5464">
        <w:rPr>
          <w:rFonts w:ascii="仿宋" w:eastAsia="仿宋" w:hAnsi="仿宋" w:hint="eastAsia"/>
          <w:sz w:val="24"/>
          <w:szCs w:val="24"/>
        </w:rPr>
        <w:t>并于</w:t>
      </w:r>
      <w:r w:rsidRPr="00D27FDE">
        <w:rPr>
          <w:rFonts w:ascii="仿宋" w:eastAsia="仿宋" w:hAnsi="仿宋" w:hint="eastAsia"/>
          <w:sz w:val="24"/>
          <w:szCs w:val="24"/>
        </w:rPr>
        <w:t>2017年</w:t>
      </w:r>
      <w:r w:rsidR="005439DD">
        <w:rPr>
          <w:rFonts w:ascii="仿宋" w:eastAsia="仿宋" w:hAnsi="仿宋" w:hint="eastAsia"/>
          <w:sz w:val="24"/>
          <w:szCs w:val="24"/>
        </w:rPr>
        <w:t>3</w:t>
      </w:r>
      <w:r w:rsidRPr="00D27FDE">
        <w:rPr>
          <w:rFonts w:ascii="仿宋" w:eastAsia="仿宋" w:hAnsi="仿宋" w:hint="eastAsia"/>
          <w:sz w:val="24"/>
          <w:szCs w:val="24"/>
        </w:rPr>
        <w:t xml:space="preserve"> 月</w:t>
      </w:r>
      <w:r w:rsidR="00876EED" w:rsidRPr="00D27FDE">
        <w:rPr>
          <w:rFonts w:ascii="仿宋" w:eastAsia="仿宋" w:hAnsi="仿宋" w:hint="eastAsia"/>
          <w:sz w:val="24"/>
          <w:szCs w:val="24"/>
        </w:rPr>
        <w:t>10</w:t>
      </w:r>
      <w:r w:rsidRPr="00D27FDE">
        <w:rPr>
          <w:rFonts w:ascii="仿宋" w:eastAsia="仿宋" w:hAnsi="仿宋" w:hint="eastAsia"/>
          <w:sz w:val="24"/>
          <w:szCs w:val="24"/>
        </w:rPr>
        <w:t xml:space="preserve"> 日</w:t>
      </w:r>
      <w:r w:rsidRPr="004E5464">
        <w:rPr>
          <w:rFonts w:ascii="仿宋" w:eastAsia="仿宋" w:hAnsi="仿宋" w:hint="eastAsia"/>
          <w:sz w:val="24"/>
          <w:szCs w:val="24"/>
        </w:rPr>
        <w:t>前将其电子版发送至</w:t>
      </w:r>
      <w:hyperlink r:id="rId9" w:history="1">
        <w:r w:rsidR="00D87AFE" w:rsidRPr="00654442">
          <w:rPr>
            <w:rStyle w:val="a6"/>
            <w:rFonts w:ascii="仿宋" w:eastAsia="仿宋" w:hAnsi="仿宋" w:hint="eastAsia"/>
            <w:sz w:val="24"/>
            <w:szCs w:val="24"/>
          </w:rPr>
          <w:t>39495638@qq.com</w:t>
        </w:r>
      </w:hyperlink>
      <w:r w:rsidRPr="004E5464">
        <w:rPr>
          <w:rFonts w:ascii="仿宋" w:eastAsia="仿宋" w:hAnsi="仿宋" w:hint="eastAsia"/>
          <w:sz w:val="24"/>
          <w:szCs w:val="24"/>
        </w:rPr>
        <w:t xml:space="preserve"> ，在竞赛报到时再提交盖章的《</w:t>
      </w:r>
      <w:r w:rsidR="00D87AFE">
        <w:rPr>
          <w:rFonts w:ascii="仿宋" w:eastAsia="仿宋" w:hAnsi="仿宋" w:hint="eastAsia"/>
          <w:sz w:val="24"/>
          <w:szCs w:val="24"/>
        </w:rPr>
        <w:t>技能</w:t>
      </w:r>
      <w:r w:rsidRPr="004E5464">
        <w:rPr>
          <w:rFonts w:ascii="仿宋" w:eastAsia="仿宋" w:hAnsi="仿宋" w:hint="eastAsia"/>
          <w:sz w:val="24"/>
          <w:szCs w:val="24"/>
        </w:rPr>
        <w:t>竞</w:t>
      </w:r>
      <w:r w:rsidRPr="00654442">
        <w:rPr>
          <w:rFonts w:ascii="仿宋" w:eastAsia="仿宋" w:hAnsi="仿宋" w:hint="eastAsia"/>
          <w:sz w:val="24"/>
          <w:szCs w:val="24"/>
        </w:rPr>
        <w:t>赛报名表》原件。</w:t>
      </w:r>
    </w:p>
    <w:p w:rsidR="00654442" w:rsidRDefault="00DC50FE" w:rsidP="001C63B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54442">
        <w:rPr>
          <w:rFonts w:ascii="仿宋" w:eastAsia="仿宋" w:hAnsi="仿宋" w:hint="eastAsia"/>
          <w:sz w:val="24"/>
          <w:szCs w:val="24"/>
        </w:rPr>
        <w:t xml:space="preserve">联系人：蒋  燕  13574086007  </w:t>
      </w:r>
      <w:hyperlink r:id="rId10" w:history="1">
        <w:r w:rsidR="00185B22" w:rsidRPr="00654442">
          <w:rPr>
            <w:rStyle w:val="a6"/>
            <w:rFonts w:ascii="仿宋" w:eastAsia="仿宋" w:hAnsi="仿宋" w:hint="eastAsia"/>
            <w:sz w:val="24"/>
            <w:szCs w:val="24"/>
          </w:rPr>
          <w:t>39495638@qq.com</w:t>
        </w:r>
      </w:hyperlink>
    </w:p>
    <w:p w:rsidR="004E5464" w:rsidRPr="00654442" w:rsidRDefault="00DC50FE" w:rsidP="00A95300">
      <w:pPr>
        <w:spacing w:line="360" w:lineRule="auto"/>
        <w:ind w:firstLine="48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654442">
        <w:rPr>
          <w:rFonts w:ascii="仿宋" w:eastAsia="仿宋" w:hAnsi="仿宋" w:hint="eastAsia"/>
          <w:sz w:val="24"/>
          <w:szCs w:val="24"/>
        </w:rPr>
        <w:t xml:space="preserve">        刘群革  13911809042  </w:t>
      </w:r>
      <w:hyperlink r:id="rId11" w:history="1">
        <w:r w:rsidR="004E5464" w:rsidRPr="00222C3E">
          <w:rPr>
            <w:rStyle w:val="a6"/>
            <w:rFonts w:ascii="仿宋" w:eastAsia="仿宋" w:hAnsi="仿宋" w:hint="eastAsia"/>
            <w:sz w:val="24"/>
            <w:szCs w:val="24"/>
          </w:rPr>
          <w:t>1004222083@qq.com</w:t>
        </w:r>
      </w:hyperlink>
    </w:p>
    <w:sectPr w:rsidR="004E5464" w:rsidRPr="00654442" w:rsidSect="004A1924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E7" w:rsidRDefault="002C55E7" w:rsidP="002F374E">
      <w:r>
        <w:separator/>
      </w:r>
    </w:p>
  </w:endnote>
  <w:endnote w:type="continuationSeparator" w:id="0">
    <w:p w:rsidR="002C55E7" w:rsidRDefault="002C55E7" w:rsidP="002F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E7" w:rsidRDefault="002C55E7" w:rsidP="002F374E">
      <w:r>
        <w:separator/>
      </w:r>
    </w:p>
  </w:footnote>
  <w:footnote w:type="continuationSeparator" w:id="0">
    <w:p w:rsidR="002C55E7" w:rsidRDefault="002C55E7" w:rsidP="002F3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3882"/>
    <w:multiLevelType w:val="hybridMultilevel"/>
    <w:tmpl w:val="328819C8"/>
    <w:lvl w:ilvl="0" w:tplc="B8D2ED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4B4A08B7"/>
    <w:multiLevelType w:val="hybridMultilevel"/>
    <w:tmpl w:val="61C8D07C"/>
    <w:lvl w:ilvl="0" w:tplc="25A208E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B76"/>
    <w:rsid w:val="000065BC"/>
    <w:rsid w:val="00011919"/>
    <w:rsid w:val="00026C75"/>
    <w:rsid w:val="00030B63"/>
    <w:rsid w:val="00031F24"/>
    <w:rsid w:val="0003520E"/>
    <w:rsid w:val="00040354"/>
    <w:rsid w:val="000517A7"/>
    <w:rsid w:val="0005290D"/>
    <w:rsid w:val="00055647"/>
    <w:rsid w:val="000A39FF"/>
    <w:rsid w:val="000B0CD3"/>
    <w:rsid w:val="000B6E4E"/>
    <w:rsid w:val="000C4422"/>
    <w:rsid w:val="000D7F13"/>
    <w:rsid w:val="00131D0D"/>
    <w:rsid w:val="00131E4D"/>
    <w:rsid w:val="00146ADB"/>
    <w:rsid w:val="001643AF"/>
    <w:rsid w:val="00170A80"/>
    <w:rsid w:val="00185B22"/>
    <w:rsid w:val="001B3572"/>
    <w:rsid w:val="001C63B5"/>
    <w:rsid w:val="001E4DB5"/>
    <w:rsid w:val="001F29CF"/>
    <w:rsid w:val="00205C17"/>
    <w:rsid w:val="00210E8B"/>
    <w:rsid w:val="002278D8"/>
    <w:rsid w:val="002319E9"/>
    <w:rsid w:val="00232488"/>
    <w:rsid w:val="00232D99"/>
    <w:rsid w:val="002360DD"/>
    <w:rsid w:val="002420C4"/>
    <w:rsid w:val="0025696F"/>
    <w:rsid w:val="00266788"/>
    <w:rsid w:val="002730E6"/>
    <w:rsid w:val="0027320C"/>
    <w:rsid w:val="0027325D"/>
    <w:rsid w:val="002A1C8D"/>
    <w:rsid w:val="002C2CC1"/>
    <w:rsid w:val="002C55E7"/>
    <w:rsid w:val="002C6308"/>
    <w:rsid w:val="002D1FEE"/>
    <w:rsid w:val="002E131C"/>
    <w:rsid w:val="002F2FBF"/>
    <w:rsid w:val="002F374E"/>
    <w:rsid w:val="00307E89"/>
    <w:rsid w:val="003108E9"/>
    <w:rsid w:val="003400ED"/>
    <w:rsid w:val="00354BF3"/>
    <w:rsid w:val="00357344"/>
    <w:rsid w:val="00370363"/>
    <w:rsid w:val="003742CD"/>
    <w:rsid w:val="0038403F"/>
    <w:rsid w:val="0038502A"/>
    <w:rsid w:val="00390B20"/>
    <w:rsid w:val="003A3FDE"/>
    <w:rsid w:val="003D6750"/>
    <w:rsid w:val="003E6224"/>
    <w:rsid w:val="003F3F28"/>
    <w:rsid w:val="003F47E7"/>
    <w:rsid w:val="00405762"/>
    <w:rsid w:val="00410B40"/>
    <w:rsid w:val="00420402"/>
    <w:rsid w:val="004216EA"/>
    <w:rsid w:val="00441961"/>
    <w:rsid w:val="0047259C"/>
    <w:rsid w:val="00474B76"/>
    <w:rsid w:val="00481DC8"/>
    <w:rsid w:val="004A0FCD"/>
    <w:rsid w:val="004A1924"/>
    <w:rsid w:val="004B313C"/>
    <w:rsid w:val="004B35D5"/>
    <w:rsid w:val="004B6573"/>
    <w:rsid w:val="004C695B"/>
    <w:rsid w:val="004E5464"/>
    <w:rsid w:val="004F5B83"/>
    <w:rsid w:val="00500FFD"/>
    <w:rsid w:val="00513646"/>
    <w:rsid w:val="005439DD"/>
    <w:rsid w:val="0055301D"/>
    <w:rsid w:val="00567B35"/>
    <w:rsid w:val="005761BC"/>
    <w:rsid w:val="00580291"/>
    <w:rsid w:val="00587E8B"/>
    <w:rsid w:val="005B18B2"/>
    <w:rsid w:val="005B22A5"/>
    <w:rsid w:val="005C2CB3"/>
    <w:rsid w:val="005E354B"/>
    <w:rsid w:val="005E45EC"/>
    <w:rsid w:val="00600A86"/>
    <w:rsid w:val="0061055A"/>
    <w:rsid w:val="00610A35"/>
    <w:rsid w:val="00652EDF"/>
    <w:rsid w:val="00654442"/>
    <w:rsid w:val="00663780"/>
    <w:rsid w:val="00671EF9"/>
    <w:rsid w:val="00696855"/>
    <w:rsid w:val="006D3597"/>
    <w:rsid w:val="006D61B2"/>
    <w:rsid w:val="006E30FA"/>
    <w:rsid w:val="0070245F"/>
    <w:rsid w:val="007205F0"/>
    <w:rsid w:val="00722A6B"/>
    <w:rsid w:val="00734CCC"/>
    <w:rsid w:val="00735AB7"/>
    <w:rsid w:val="0074790A"/>
    <w:rsid w:val="00771259"/>
    <w:rsid w:val="007A3266"/>
    <w:rsid w:val="007B0F79"/>
    <w:rsid w:val="007C2825"/>
    <w:rsid w:val="007C350A"/>
    <w:rsid w:val="007D4B3B"/>
    <w:rsid w:val="007E14EB"/>
    <w:rsid w:val="007E16E0"/>
    <w:rsid w:val="007E61EC"/>
    <w:rsid w:val="007E7241"/>
    <w:rsid w:val="007F7CDA"/>
    <w:rsid w:val="00830894"/>
    <w:rsid w:val="008320FD"/>
    <w:rsid w:val="0087170B"/>
    <w:rsid w:val="00876EED"/>
    <w:rsid w:val="008829BB"/>
    <w:rsid w:val="00890534"/>
    <w:rsid w:val="008956BF"/>
    <w:rsid w:val="008966A8"/>
    <w:rsid w:val="008C4295"/>
    <w:rsid w:val="008E2B7E"/>
    <w:rsid w:val="008F4A47"/>
    <w:rsid w:val="008F646F"/>
    <w:rsid w:val="009031FD"/>
    <w:rsid w:val="009046BB"/>
    <w:rsid w:val="009156F0"/>
    <w:rsid w:val="00926A99"/>
    <w:rsid w:val="00931EC2"/>
    <w:rsid w:val="00942C38"/>
    <w:rsid w:val="00943EEE"/>
    <w:rsid w:val="00952F60"/>
    <w:rsid w:val="0096668A"/>
    <w:rsid w:val="0097354D"/>
    <w:rsid w:val="00977FAE"/>
    <w:rsid w:val="00991C27"/>
    <w:rsid w:val="00996A74"/>
    <w:rsid w:val="009A60BD"/>
    <w:rsid w:val="009B1DF5"/>
    <w:rsid w:val="009D7D0B"/>
    <w:rsid w:val="00A07803"/>
    <w:rsid w:val="00A12203"/>
    <w:rsid w:val="00A4236B"/>
    <w:rsid w:val="00A51995"/>
    <w:rsid w:val="00A821D3"/>
    <w:rsid w:val="00A95300"/>
    <w:rsid w:val="00AB4B19"/>
    <w:rsid w:val="00AD628A"/>
    <w:rsid w:val="00AE30E3"/>
    <w:rsid w:val="00AF6062"/>
    <w:rsid w:val="00AF7834"/>
    <w:rsid w:val="00B11049"/>
    <w:rsid w:val="00B6078F"/>
    <w:rsid w:val="00B74CE6"/>
    <w:rsid w:val="00B85744"/>
    <w:rsid w:val="00B96307"/>
    <w:rsid w:val="00BA6A25"/>
    <w:rsid w:val="00BD262A"/>
    <w:rsid w:val="00BF1762"/>
    <w:rsid w:val="00C03CCD"/>
    <w:rsid w:val="00C20F7A"/>
    <w:rsid w:val="00C23515"/>
    <w:rsid w:val="00C27E13"/>
    <w:rsid w:val="00C33BF6"/>
    <w:rsid w:val="00C35F00"/>
    <w:rsid w:val="00C401C5"/>
    <w:rsid w:val="00C46FC9"/>
    <w:rsid w:val="00C51858"/>
    <w:rsid w:val="00C5346B"/>
    <w:rsid w:val="00C60FED"/>
    <w:rsid w:val="00C61AEA"/>
    <w:rsid w:val="00C70D8B"/>
    <w:rsid w:val="00C77535"/>
    <w:rsid w:val="00C974DC"/>
    <w:rsid w:val="00CC100C"/>
    <w:rsid w:val="00CC7B0A"/>
    <w:rsid w:val="00CD5AA4"/>
    <w:rsid w:val="00CE3E05"/>
    <w:rsid w:val="00CE4471"/>
    <w:rsid w:val="00CF3723"/>
    <w:rsid w:val="00D1064B"/>
    <w:rsid w:val="00D2129D"/>
    <w:rsid w:val="00D27FDE"/>
    <w:rsid w:val="00D3478D"/>
    <w:rsid w:val="00D44D3F"/>
    <w:rsid w:val="00D8095D"/>
    <w:rsid w:val="00D85DDB"/>
    <w:rsid w:val="00D870BC"/>
    <w:rsid w:val="00D87AFE"/>
    <w:rsid w:val="00D9261E"/>
    <w:rsid w:val="00DA1E3F"/>
    <w:rsid w:val="00DB048B"/>
    <w:rsid w:val="00DC2117"/>
    <w:rsid w:val="00DC50FE"/>
    <w:rsid w:val="00DC6958"/>
    <w:rsid w:val="00DC6E33"/>
    <w:rsid w:val="00DE0780"/>
    <w:rsid w:val="00DE4342"/>
    <w:rsid w:val="00E10FB0"/>
    <w:rsid w:val="00E27E28"/>
    <w:rsid w:val="00E40489"/>
    <w:rsid w:val="00E427EB"/>
    <w:rsid w:val="00E63BF1"/>
    <w:rsid w:val="00E726E5"/>
    <w:rsid w:val="00E91D0F"/>
    <w:rsid w:val="00EA3291"/>
    <w:rsid w:val="00EB6352"/>
    <w:rsid w:val="00EC4FB8"/>
    <w:rsid w:val="00EC52A2"/>
    <w:rsid w:val="00EC78BD"/>
    <w:rsid w:val="00EE53C6"/>
    <w:rsid w:val="00F03044"/>
    <w:rsid w:val="00F1476F"/>
    <w:rsid w:val="00F538C6"/>
    <w:rsid w:val="00F56209"/>
    <w:rsid w:val="00F91CB4"/>
    <w:rsid w:val="00FA3181"/>
    <w:rsid w:val="00FB45DB"/>
    <w:rsid w:val="00FB5E04"/>
    <w:rsid w:val="00FC0E25"/>
    <w:rsid w:val="00FD2079"/>
    <w:rsid w:val="00FF14CF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74E"/>
    <w:rPr>
      <w:sz w:val="18"/>
      <w:szCs w:val="18"/>
    </w:rPr>
  </w:style>
  <w:style w:type="paragraph" w:styleId="a5">
    <w:name w:val="List Paragraph"/>
    <w:basedOn w:val="a"/>
    <w:uiPriority w:val="34"/>
    <w:qFormat/>
    <w:rsid w:val="00AE30E3"/>
    <w:pPr>
      <w:ind w:firstLineChars="200" w:firstLine="420"/>
    </w:pPr>
  </w:style>
  <w:style w:type="character" w:styleId="a6">
    <w:name w:val="Hyperlink"/>
    <w:rsid w:val="00E63BF1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74E"/>
    <w:rPr>
      <w:sz w:val="18"/>
      <w:szCs w:val="18"/>
    </w:rPr>
  </w:style>
  <w:style w:type="paragraph" w:styleId="a5">
    <w:name w:val="List Paragraph"/>
    <w:basedOn w:val="a"/>
    <w:uiPriority w:val="34"/>
    <w:qFormat/>
    <w:rsid w:val="00AE30E3"/>
    <w:pPr>
      <w:ind w:firstLineChars="200" w:firstLine="420"/>
    </w:pPr>
  </w:style>
  <w:style w:type="character" w:styleId="a6">
    <w:name w:val="Hyperlink"/>
    <w:rsid w:val="00E63BF1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9495638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04222083@q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3949563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9495638@qq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48</cp:revision>
  <cp:lastPrinted>2016-12-19T07:23:00Z</cp:lastPrinted>
  <dcterms:created xsi:type="dcterms:W3CDTF">2016-12-12T23:59:00Z</dcterms:created>
  <dcterms:modified xsi:type="dcterms:W3CDTF">2016-12-19T07:32:00Z</dcterms:modified>
</cp:coreProperties>
</file>